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7FD94" w14:textId="0E402649" w:rsidR="00935321" w:rsidRPr="001121E7" w:rsidRDefault="00B84F33" w:rsidP="001121E7">
      <w:pPr>
        <w:ind w:firstLine="708"/>
        <w:jc w:val="center"/>
        <w:rPr>
          <w:rFonts w:ascii="Times New Roman" w:hAnsi="Times New Roman" w:cs="Times New Roman"/>
          <w:b/>
          <w:bCs/>
          <w:sz w:val="24"/>
          <w:szCs w:val="24"/>
        </w:rPr>
      </w:pPr>
      <w:bookmarkStart w:id="0" w:name="UCHWAŁA_NR_VII/48/2024_RADY_GMINY_WIDUCH"/>
      <w:bookmarkEnd w:id="0"/>
      <w:r w:rsidRPr="001121E7">
        <w:rPr>
          <w:rFonts w:ascii="Times New Roman" w:hAnsi="Times New Roman" w:cs="Times New Roman"/>
          <w:b/>
          <w:bCs/>
          <w:sz w:val="24"/>
          <w:szCs w:val="24"/>
        </w:rPr>
        <w:t>Uchwała Nr VII/67/2024</w:t>
      </w:r>
    </w:p>
    <w:p w14:paraId="3FFA8CBD" w14:textId="6A64C554" w:rsidR="00935321" w:rsidRPr="001121E7" w:rsidRDefault="00B84F33" w:rsidP="001121E7">
      <w:pPr>
        <w:jc w:val="center"/>
        <w:rPr>
          <w:rFonts w:ascii="Times New Roman" w:hAnsi="Times New Roman" w:cs="Times New Roman"/>
          <w:b/>
          <w:bCs/>
          <w:sz w:val="24"/>
          <w:szCs w:val="24"/>
        </w:rPr>
      </w:pPr>
      <w:r w:rsidRPr="001121E7">
        <w:rPr>
          <w:rFonts w:ascii="Times New Roman" w:hAnsi="Times New Roman" w:cs="Times New Roman"/>
          <w:b/>
          <w:bCs/>
          <w:sz w:val="24"/>
          <w:szCs w:val="24"/>
        </w:rPr>
        <w:t>Rady Miejskiej w Trzcińsku -  Zdroju</w:t>
      </w:r>
    </w:p>
    <w:p w14:paraId="09F5F4CC" w14:textId="77777777" w:rsidR="00935321" w:rsidRPr="001121E7" w:rsidRDefault="00935321" w:rsidP="001121E7">
      <w:pPr>
        <w:jc w:val="center"/>
        <w:rPr>
          <w:rFonts w:ascii="Times New Roman" w:hAnsi="Times New Roman" w:cs="Times New Roman"/>
          <w:b/>
          <w:bCs/>
          <w:sz w:val="24"/>
          <w:szCs w:val="24"/>
        </w:rPr>
      </w:pPr>
      <w:r w:rsidRPr="001121E7">
        <w:rPr>
          <w:rFonts w:ascii="Times New Roman" w:hAnsi="Times New Roman" w:cs="Times New Roman"/>
          <w:b/>
          <w:bCs/>
          <w:sz w:val="24"/>
          <w:szCs w:val="24"/>
        </w:rPr>
        <w:t>z dnia 29 listopada 2024 r.</w:t>
      </w:r>
    </w:p>
    <w:p w14:paraId="3BBCEA2F" w14:textId="77777777" w:rsidR="00935321" w:rsidRPr="001121E7" w:rsidRDefault="00935321" w:rsidP="00935321">
      <w:pPr>
        <w:rPr>
          <w:rFonts w:ascii="Times New Roman" w:hAnsi="Times New Roman" w:cs="Times New Roman"/>
          <w:sz w:val="24"/>
          <w:szCs w:val="24"/>
        </w:rPr>
      </w:pPr>
    </w:p>
    <w:p w14:paraId="5970F021" w14:textId="77777777" w:rsidR="00935321" w:rsidRPr="001121E7" w:rsidRDefault="00935321" w:rsidP="00935321">
      <w:pPr>
        <w:jc w:val="center"/>
        <w:rPr>
          <w:rFonts w:ascii="Times New Roman" w:hAnsi="Times New Roman" w:cs="Times New Roman"/>
          <w:b/>
          <w:bCs/>
          <w:sz w:val="24"/>
          <w:szCs w:val="24"/>
        </w:rPr>
      </w:pPr>
      <w:r w:rsidRPr="001121E7">
        <w:rPr>
          <w:rFonts w:ascii="Times New Roman" w:hAnsi="Times New Roman" w:cs="Times New Roman"/>
          <w:b/>
          <w:bCs/>
          <w:sz w:val="24"/>
          <w:szCs w:val="24"/>
        </w:rPr>
        <w:t>w sprawie zaopiniowania projektu audytu krajobrazowego Województwa Zachodniopomorskiego</w:t>
      </w:r>
    </w:p>
    <w:p w14:paraId="2A51171D" w14:textId="77777777" w:rsidR="00935321" w:rsidRPr="001121E7" w:rsidRDefault="00935321" w:rsidP="00935321">
      <w:pPr>
        <w:rPr>
          <w:rFonts w:ascii="Times New Roman" w:hAnsi="Times New Roman" w:cs="Times New Roman"/>
          <w:b/>
          <w:sz w:val="24"/>
          <w:szCs w:val="24"/>
        </w:rPr>
      </w:pPr>
    </w:p>
    <w:p w14:paraId="03F07421" w14:textId="63F5591A" w:rsidR="00935321" w:rsidRPr="001121E7" w:rsidRDefault="00935321" w:rsidP="00935321">
      <w:pPr>
        <w:jc w:val="both"/>
        <w:rPr>
          <w:rFonts w:ascii="Times New Roman" w:hAnsi="Times New Roman" w:cs="Times New Roman"/>
          <w:sz w:val="24"/>
          <w:szCs w:val="24"/>
        </w:rPr>
      </w:pPr>
      <w:r w:rsidRPr="001121E7">
        <w:rPr>
          <w:rFonts w:ascii="Times New Roman" w:hAnsi="Times New Roman" w:cs="Times New Roman"/>
          <w:sz w:val="24"/>
          <w:szCs w:val="24"/>
        </w:rPr>
        <w:t>Na podstawie art. 18 ust. 2 pkt 15 i art. 89 ustawy z dnia 08 marca 1990 r. o samorządzie gminnym (</w:t>
      </w:r>
      <w:proofErr w:type="spellStart"/>
      <w:r w:rsidRPr="001121E7">
        <w:rPr>
          <w:rFonts w:ascii="Times New Roman" w:hAnsi="Times New Roman" w:cs="Times New Roman"/>
          <w:sz w:val="24"/>
          <w:szCs w:val="24"/>
        </w:rPr>
        <w:t>t.j</w:t>
      </w:r>
      <w:proofErr w:type="spellEnd"/>
      <w:r w:rsidRPr="001121E7">
        <w:rPr>
          <w:rFonts w:ascii="Times New Roman" w:hAnsi="Times New Roman" w:cs="Times New Roman"/>
          <w:sz w:val="24"/>
          <w:szCs w:val="24"/>
        </w:rPr>
        <w:t xml:space="preserve">. Dz.U. z 2024 r., poz.1465, poz. 1572) oraz art. 38a i art. 38b ust. 2 pkt 2d ustawy z dnia 27 marca 2003 r. o planowaniu i zagospodarowaniu przestrzennym (t. j. Dz.U. z 2024 r., poz. 1130) </w:t>
      </w:r>
      <w:r w:rsidRPr="001121E7">
        <w:rPr>
          <w:rFonts w:ascii="Times New Roman" w:hAnsi="Times New Roman" w:cs="Times New Roman"/>
          <w:b/>
          <w:bCs/>
          <w:sz w:val="24"/>
          <w:szCs w:val="24"/>
        </w:rPr>
        <w:t xml:space="preserve">Rada </w:t>
      </w:r>
      <w:r w:rsidR="00B84F33" w:rsidRPr="001121E7">
        <w:rPr>
          <w:rFonts w:ascii="Times New Roman" w:hAnsi="Times New Roman" w:cs="Times New Roman"/>
          <w:b/>
          <w:bCs/>
          <w:sz w:val="24"/>
          <w:szCs w:val="24"/>
        </w:rPr>
        <w:t xml:space="preserve">Miejska w </w:t>
      </w:r>
      <w:proofErr w:type="spellStart"/>
      <w:r w:rsidR="00B84F33" w:rsidRPr="001121E7">
        <w:rPr>
          <w:rFonts w:ascii="Times New Roman" w:hAnsi="Times New Roman" w:cs="Times New Roman"/>
          <w:b/>
          <w:bCs/>
          <w:sz w:val="24"/>
          <w:szCs w:val="24"/>
        </w:rPr>
        <w:t>Trzcińsku-Zdroju</w:t>
      </w:r>
      <w:proofErr w:type="spellEnd"/>
      <w:r w:rsidRPr="001121E7">
        <w:rPr>
          <w:rFonts w:ascii="Times New Roman" w:hAnsi="Times New Roman" w:cs="Times New Roman"/>
          <w:b/>
          <w:bCs/>
          <w:sz w:val="24"/>
          <w:szCs w:val="24"/>
        </w:rPr>
        <w:t xml:space="preserve"> uchwala, co następuje:</w:t>
      </w:r>
    </w:p>
    <w:p w14:paraId="3AA3B921" w14:textId="77777777" w:rsidR="00935321" w:rsidRPr="001121E7" w:rsidRDefault="00935321" w:rsidP="001121E7">
      <w:pPr>
        <w:ind w:firstLine="708"/>
        <w:jc w:val="both"/>
        <w:rPr>
          <w:rFonts w:ascii="Times New Roman" w:hAnsi="Times New Roman" w:cs="Times New Roman"/>
          <w:sz w:val="24"/>
          <w:szCs w:val="24"/>
        </w:rPr>
      </w:pPr>
      <w:bookmarkStart w:id="1" w:name="§_1"/>
      <w:bookmarkEnd w:id="1"/>
      <w:r w:rsidRPr="001121E7">
        <w:rPr>
          <w:rFonts w:ascii="Times New Roman" w:hAnsi="Times New Roman" w:cs="Times New Roman"/>
          <w:b/>
          <w:sz w:val="24"/>
          <w:szCs w:val="24"/>
        </w:rPr>
        <w:t xml:space="preserve">§ 1. </w:t>
      </w:r>
      <w:r w:rsidRPr="001121E7">
        <w:rPr>
          <w:rFonts w:ascii="Times New Roman" w:hAnsi="Times New Roman" w:cs="Times New Roman"/>
          <w:sz w:val="24"/>
          <w:szCs w:val="24"/>
        </w:rPr>
        <w:t>Opiniuje się negatywnie projekt audytu krajobrazowego Województwa Zachodniopomorskiego.</w:t>
      </w:r>
    </w:p>
    <w:p w14:paraId="36020819" w14:textId="77777777" w:rsidR="00935321" w:rsidRPr="001121E7" w:rsidRDefault="00935321" w:rsidP="001121E7">
      <w:pPr>
        <w:ind w:firstLine="708"/>
        <w:jc w:val="both"/>
        <w:rPr>
          <w:rFonts w:ascii="Times New Roman" w:hAnsi="Times New Roman" w:cs="Times New Roman"/>
          <w:sz w:val="24"/>
          <w:szCs w:val="24"/>
        </w:rPr>
      </w:pPr>
      <w:bookmarkStart w:id="2" w:name="§_2"/>
      <w:bookmarkStart w:id="3" w:name="§_3"/>
      <w:bookmarkEnd w:id="2"/>
      <w:bookmarkEnd w:id="3"/>
      <w:r w:rsidRPr="001121E7">
        <w:rPr>
          <w:rFonts w:ascii="Times New Roman" w:hAnsi="Times New Roman" w:cs="Times New Roman"/>
          <w:b/>
          <w:sz w:val="24"/>
          <w:szCs w:val="24"/>
        </w:rPr>
        <w:t xml:space="preserve">§ 2. </w:t>
      </w:r>
      <w:r w:rsidRPr="001121E7">
        <w:rPr>
          <w:rFonts w:ascii="Times New Roman" w:hAnsi="Times New Roman" w:cs="Times New Roman"/>
          <w:sz w:val="24"/>
          <w:szCs w:val="24"/>
        </w:rPr>
        <w:t>Integralną część niniejszej uchwały stanowi załącznik zawierający treść uwag do projektu audytu krajobrazowego Województwa Zachodniopomorskiego.</w:t>
      </w:r>
    </w:p>
    <w:p w14:paraId="06FD6A26" w14:textId="0D285FCA" w:rsidR="00935321" w:rsidRPr="001121E7" w:rsidRDefault="00935321" w:rsidP="001121E7">
      <w:pPr>
        <w:ind w:firstLine="708"/>
        <w:jc w:val="both"/>
        <w:rPr>
          <w:rFonts w:ascii="Times New Roman" w:hAnsi="Times New Roman" w:cs="Times New Roman"/>
          <w:sz w:val="24"/>
          <w:szCs w:val="24"/>
        </w:rPr>
      </w:pPr>
      <w:r w:rsidRPr="001121E7">
        <w:rPr>
          <w:rFonts w:ascii="Times New Roman" w:hAnsi="Times New Roman" w:cs="Times New Roman"/>
          <w:b/>
          <w:sz w:val="24"/>
          <w:szCs w:val="24"/>
        </w:rPr>
        <w:t xml:space="preserve">§ 3. </w:t>
      </w:r>
      <w:r w:rsidRPr="001121E7">
        <w:rPr>
          <w:rFonts w:ascii="Times New Roman" w:hAnsi="Times New Roman" w:cs="Times New Roman"/>
          <w:sz w:val="24"/>
          <w:szCs w:val="24"/>
        </w:rPr>
        <w:t xml:space="preserve">Wykonanie uchwały powierza się Burmistrzowi Gminy Trzcińsko – Zdrój. </w:t>
      </w:r>
    </w:p>
    <w:p w14:paraId="42DDD6B9" w14:textId="77777777" w:rsidR="00935321" w:rsidRPr="001121E7" w:rsidRDefault="00935321" w:rsidP="001121E7">
      <w:pPr>
        <w:ind w:firstLine="708"/>
        <w:jc w:val="both"/>
        <w:rPr>
          <w:rFonts w:ascii="Times New Roman" w:hAnsi="Times New Roman" w:cs="Times New Roman"/>
          <w:sz w:val="24"/>
          <w:szCs w:val="24"/>
        </w:rPr>
      </w:pPr>
      <w:bookmarkStart w:id="4" w:name="§_4"/>
      <w:bookmarkEnd w:id="4"/>
      <w:r w:rsidRPr="001121E7">
        <w:rPr>
          <w:rFonts w:ascii="Times New Roman" w:hAnsi="Times New Roman" w:cs="Times New Roman"/>
          <w:b/>
          <w:sz w:val="24"/>
          <w:szCs w:val="24"/>
        </w:rPr>
        <w:t xml:space="preserve">§ 4. </w:t>
      </w:r>
      <w:r w:rsidRPr="001121E7">
        <w:rPr>
          <w:rFonts w:ascii="Times New Roman" w:hAnsi="Times New Roman" w:cs="Times New Roman"/>
          <w:sz w:val="24"/>
          <w:szCs w:val="24"/>
        </w:rPr>
        <w:t>Uchwała wchodzi w życie z dniem podjęcia.</w:t>
      </w:r>
    </w:p>
    <w:p w14:paraId="53834369" w14:textId="77777777" w:rsidR="00935321" w:rsidRPr="001121E7" w:rsidRDefault="00935321" w:rsidP="00935321">
      <w:pPr>
        <w:jc w:val="both"/>
        <w:rPr>
          <w:rFonts w:ascii="Times New Roman" w:hAnsi="Times New Roman" w:cs="Times New Roman"/>
          <w:b/>
          <w:bCs/>
          <w:sz w:val="24"/>
          <w:szCs w:val="24"/>
        </w:rPr>
      </w:pPr>
    </w:p>
    <w:p w14:paraId="6DBDE291" w14:textId="77777777" w:rsidR="00935321" w:rsidRPr="001121E7" w:rsidRDefault="00935321" w:rsidP="00935321">
      <w:pPr>
        <w:rPr>
          <w:rFonts w:ascii="Times New Roman" w:hAnsi="Times New Roman" w:cs="Times New Roman"/>
          <w:b/>
          <w:sz w:val="24"/>
          <w:szCs w:val="24"/>
        </w:rPr>
      </w:pPr>
    </w:p>
    <w:p w14:paraId="28A9C332" w14:textId="77777777" w:rsidR="00935321" w:rsidRPr="00935321" w:rsidRDefault="00935321" w:rsidP="00935321">
      <w:pPr>
        <w:rPr>
          <w:rFonts w:ascii="Times New Roman" w:hAnsi="Times New Roman" w:cs="Times New Roman"/>
          <w:b/>
        </w:rPr>
      </w:pPr>
    </w:p>
    <w:p w14:paraId="13B22C02" w14:textId="77777777" w:rsidR="00935321" w:rsidRPr="00935321" w:rsidRDefault="00935321" w:rsidP="00935321">
      <w:pPr>
        <w:rPr>
          <w:rFonts w:ascii="Times New Roman" w:hAnsi="Times New Roman" w:cs="Times New Roman"/>
          <w:b/>
        </w:rPr>
      </w:pPr>
    </w:p>
    <w:p w14:paraId="354F1036" w14:textId="77777777" w:rsidR="00935321" w:rsidRPr="00935321" w:rsidRDefault="00935321" w:rsidP="00935321">
      <w:pPr>
        <w:rPr>
          <w:rFonts w:ascii="Times New Roman" w:hAnsi="Times New Roman" w:cs="Times New Roman"/>
          <w:b/>
        </w:rPr>
      </w:pPr>
    </w:p>
    <w:p w14:paraId="352DA609" w14:textId="77777777" w:rsidR="00935321" w:rsidRPr="00935321" w:rsidRDefault="00935321" w:rsidP="00935321">
      <w:pPr>
        <w:rPr>
          <w:rFonts w:ascii="Times New Roman" w:hAnsi="Times New Roman" w:cs="Times New Roman"/>
          <w:b/>
        </w:rPr>
      </w:pPr>
    </w:p>
    <w:p w14:paraId="33476683" w14:textId="77777777" w:rsidR="00935321" w:rsidRPr="00935321" w:rsidRDefault="00935321" w:rsidP="00935321">
      <w:pPr>
        <w:rPr>
          <w:rFonts w:ascii="Times New Roman" w:hAnsi="Times New Roman" w:cs="Times New Roman"/>
          <w:b/>
        </w:rPr>
      </w:pPr>
    </w:p>
    <w:p w14:paraId="55346EC1" w14:textId="77777777" w:rsidR="00935321" w:rsidRPr="00935321" w:rsidRDefault="00935321" w:rsidP="00935321">
      <w:pPr>
        <w:rPr>
          <w:rFonts w:ascii="Times New Roman" w:hAnsi="Times New Roman" w:cs="Times New Roman"/>
          <w:b/>
        </w:rPr>
      </w:pPr>
    </w:p>
    <w:p w14:paraId="5789C0AC" w14:textId="77777777" w:rsidR="00935321" w:rsidRPr="00935321" w:rsidRDefault="00935321" w:rsidP="00935321">
      <w:pPr>
        <w:rPr>
          <w:rFonts w:ascii="Times New Roman" w:hAnsi="Times New Roman" w:cs="Times New Roman"/>
          <w:b/>
        </w:rPr>
      </w:pPr>
    </w:p>
    <w:p w14:paraId="5AB1692A" w14:textId="77777777" w:rsidR="00935321" w:rsidRPr="00935321" w:rsidRDefault="00935321" w:rsidP="00935321">
      <w:pPr>
        <w:rPr>
          <w:rFonts w:ascii="Times New Roman" w:hAnsi="Times New Roman" w:cs="Times New Roman"/>
          <w:b/>
        </w:rPr>
      </w:pPr>
    </w:p>
    <w:p w14:paraId="631C5290" w14:textId="77777777" w:rsidR="00935321" w:rsidRPr="00935321" w:rsidRDefault="00935321" w:rsidP="00935321">
      <w:pPr>
        <w:rPr>
          <w:rFonts w:ascii="Times New Roman" w:hAnsi="Times New Roman" w:cs="Times New Roman"/>
          <w:b/>
        </w:rPr>
      </w:pPr>
    </w:p>
    <w:p w14:paraId="50984424" w14:textId="77777777" w:rsidR="00935321" w:rsidRPr="00935321" w:rsidRDefault="00935321" w:rsidP="00935321">
      <w:pPr>
        <w:rPr>
          <w:rFonts w:ascii="Times New Roman" w:hAnsi="Times New Roman" w:cs="Times New Roman"/>
          <w:b/>
        </w:rPr>
      </w:pPr>
    </w:p>
    <w:p w14:paraId="7C7AED25" w14:textId="77777777" w:rsidR="00935321" w:rsidRPr="00935321" w:rsidRDefault="00935321" w:rsidP="00935321">
      <w:pPr>
        <w:rPr>
          <w:rFonts w:ascii="Times New Roman" w:hAnsi="Times New Roman" w:cs="Times New Roman"/>
          <w:b/>
        </w:rPr>
      </w:pPr>
    </w:p>
    <w:p w14:paraId="12E89D01" w14:textId="77777777" w:rsidR="00935321" w:rsidRPr="00935321" w:rsidRDefault="00935321" w:rsidP="00935321">
      <w:pPr>
        <w:rPr>
          <w:rFonts w:ascii="Times New Roman" w:hAnsi="Times New Roman" w:cs="Times New Roman"/>
          <w:b/>
        </w:rPr>
      </w:pPr>
    </w:p>
    <w:p w14:paraId="00DBECE2" w14:textId="77777777" w:rsidR="00935321" w:rsidRPr="00935321" w:rsidRDefault="00935321" w:rsidP="00935321">
      <w:pPr>
        <w:rPr>
          <w:rFonts w:ascii="Times New Roman" w:hAnsi="Times New Roman" w:cs="Times New Roman"/>
          <w:b/>
        </w:rPr>
      </w:pPr>
    </w:p>
    <w:p w14:paraId="706F111B" w14:textId="77777777" w:rsidR="00935321" w:rsidRDefault="00935321" w:rsidP="00935321">
      <w:pPr>
        <w:rPr>
          <w:rFonts w:ascii="Times New Roman" w:hAnsi="Times New Roman" w:cs="Times New Roman"/>
          <w:b/>
        </w:rPr>
      </w:pPr>
    </w:p>
    <w:p w14:paraId="159D9D2F" w14:textId="77777777" w:rsidR="00935321" w:rsidRPr="00935321" w:rsidRDefault="00935321" w:rsidP="00935321">
      <w:pPr>
        <w:rPr>
          <w:rFonts w:ascii="Times New Roman" w:hAnsi="Times New Roman" w:cs="Times New Roman"/>
          <w:b/>
        </w:rPr>
      </w:pPr>
    </w:p>
    <w:p w14:paraId="3CD024FD" w14:textId="77777777" w:rsidR="00B84F33" w:rsidRDefault="00935321" w:rsidP="00935321">
      <w:pPr>
        <w:spacing w:line="240" w:lineRule="auto"/>
        <w:ind w:left="4956" w:firstLine="708"/>
        <w:rPr>
          <w:rFonts w:ascii="Times New Roman" w:hAnsi="Times New Roman" w:cs="Times New Roman"/>
          <w:bCs/>
          <w:sz w:val="24"/>
          <w:szCs w:val="24"/>
        </w:rPr>
      </w:pPr>
      <w:r w:rsidRPr="00B84F33">
        <w:rPr>
          <w:rFonts w:ascii="Times New Roman" w:hAnsi="Times New Roman" w:cs="Times New Roman"/>
          <w:bCs/>
          <w:sz w:val="24"/>
          <w:szCs w:val="24"/>
        </w:rPr>
        <w:t xml:space="preserve">Załącznik </w:t>
      </w:r>
    </w:p>
    <w:p w14:paraId="6D907A6E" w14:textId="7E37C6BC" w:rsidR="00935321" w:rsidRPr="00B84F33" w:rsidRDefault="00935321" w:rsidP="00935321">
      <w:pPr>
        <w:spacing w:line="240" w:lineRule="auto"/>
        <w:ind w:left="4956" w:firstLine="708"/>
        <w:rPr>
          <w:rFonts w:ascii="Times New Roman" w:hAnsi="Times New Roman" w:cs="Times New Roman"/>
          <w:bCs/>
          <w:sz w:val="24"/>
          <w:szCs w:val="24"/>
        </w:rPr>
      </w:pPr>
      <w:r w:rsidRPr="00B84F33">
        <w:rPr>
          <w:rFonts w:ascii="Times New Roman" w:hAnsi="Times New Roman" w:cs="Times New Roman"/>
          <w:bCs/>
          <w:sz w:val="24"/>
          <w:szCs w:val="24"/>
        </w:rPr>
        <w:t xml:space="preserve">do  Uchwały Rady Miejskiej </w:t>
      </w:r>
    </w:p>
    <w:p w14:paraId="6FF026E0" w14:textId="483327F3" w:rsidR="00935321" w:rsidRPr="00B84F33" w:rsidRDefault="00935321" w:rsidP="00935321">
      <w:pPr>
        <w:spacing w:line="240" w:lineRule="auto"/>
        <w:ind w:left="4956" w:firstLine="708"/>
        <w:rPr>
          <w:rFonts w:ascii="Times New Roman" w:hAnsi="Times New Roman" w:cs="Times New Roman"/>
          <w:bCs/>
          <w:sz w:val="24"/>
          <w:szCs w:val="24"/>
        </w:rPr>
      </w:pPr>
      <w:r w:rsidRPr="00B84F33">
        <w:rPr>
          <w:rFonts w:ascii="Times New Roman" w:hAnsi="Times New Roman" w:cs="Times New Roman"/>
          <w:bCs/>
          <w:sz w:val="24"/>
          <w:szCs w:val="24"/>
        </w:rPr>
        <w:t xml:space="preserve">w   Trzcińsku – Zdroju  </w:t>
      </w:r>
    </w:p>
    <w:p w14:paraId="2407296D" w14:textId="2E6F5F2A" w:rsidR="00935321" w:rsidRPr="00B84F33" w:rsidRDefault="00935321" w:rsidP="00935321">
      <w:pPr>
        <w:spacing w:line="240" w:lineRule="auto"/>
        <w:rPr>
          <w:rFonts w:ascii="Times New Roman" w:hAnsi="Times New Roman" w:cs="Times New Roman"/>
          <w:bCs/>
          <w:sz w:val="24"/>
          <w:szCs w:val="24"/>
        </w:rPr>
      </w:pPr>
      <w:r w:rsidRPr="00B84F33">
        <w:rPr>
          <w:rFonts w:ascii="Times New Roman" w:hAnsi="Times New Roman" w:cs="Times New Roman"/>
          <w:bCs/>
          <w:sz w:val="24"/>
          <w:szCs w:val="24"/>
        </w:rPr>
        <w:t xml:space="preserve">                    </w:t>
      </w:r>
      <w:r w:rsidRPr="00B84F33">
        <w:rPr>
          <w:rFonts w:ascii="Times New Roman" w:hAnsi="Times New Roman" w:cs="Times New Roman"/>
          <w:bCs/>
          <w:sz w:val="24"/>
          <w:szCs w:val="24"/>
        </w:rPr>
        <w:tab/>
      </w:r>
      <w:r w:rsidRPr="00B84F33">
        <w:rPr>
          <w:rFonts w:ascii="Times New Roman" w:hAnsi="Times New Roman" w:cs="Times New Roman"/>
          <w:bCs/>
          <w:sz w:val="24"/>
          <w:szCs w:val="24"/>
        </w:rPr>
        <w:tab/>
      </w:r>
      <w:r w:rsidRPr="00B84F33">
        <w:rPr>
          <w:rFonts w:ascii="Times New Roman" w:hAnsi="Times New Roman" w:cs="Times New Roman"/>
          <w:bCs/>
          <w:sz w:val="24"/>
          <w:szCs w:val="24"/>
        </w:rPr>
        <w:tab/>
      </w:r>
      <w:r w:rsidRPr="00B84F33">
        <w:rPr>
          <w:rFonts w:ascii="Times New Roman" w:hAnsi="Times New Roman" w:cs="Times New Roman"/>
          <w:bCs/>
          <w:sz w:val="24"/>
          <w:szCs w:val="24"/>
        </w:rPr>
        <w:tab/>
      </w:r>
      <w:r w:rsidRPr="00B84F33">
        <w:rPr>
          <w:rFonts w:ascii="Times New Roman" w:hAnsi="Times New Roman" w:cs="Times New Roman"/>
          <w:bCs/>
          <w:sz w:val="24"/>
          <w:szCs w:val="24"/>
        </w:rPr>
        <w:tab/>
      </w:r>
      <w:r w:rsidRPr="00B84F33">
        <w:rPr>
          <w:rFonts w:ascii="Times New Roman" w:hAnsi="Times New Roman" w:cs="Times New Roman"/>
          <w:bCs/>
          <w:sz w:val="24"/>
          <w:szCs w:val="24"/>
        </w:rPr>
        <w:tab/>
      </w:r>
      <w:r w:rsidRPr="00B84F33">
        <w:rPr>
          <w:rFonts w:ascii="Times New Roman" w:hAnsi="Times New Roman" w:cs="Times New Roman"/>
          <w:bCs/>
          <w:sz w:val="24"/>
          <w:szCs w:val="24"/>
        </w:rPr>
        <w:tab/>
        <w:t>z dnia 29 listopada 2024 r.</w:t>
      </w:r>
    </w:p>
    <w:p w14:paraId="733422C1" w14:textId="4FA6749B" w:rsidR="00935321" w:rsidRPr="00935321" w:rsidRDefault="00935321" w:rsidP="00935321">
      <w:pPr>
        <w:spacing w:line="240" w:lineRule="auto"/>
        <w:jc w:val="both"/>
        <w:rPr>
          <w:rFonts w:ascii="Times New Roman" w:hAnsi="Times New Roman" w:cs="Times New Roman"/>
          <w:bCs/>
        </w:rPr>
      </w:pPr>
      <w:r w:rsidRPr="00935321">
        <w:rPr>
          <w:rFonts w:ascii="Times New Roman" w:hAnsi="Times New Roman" w:cs="Times New Roman"/>
          <w:bCs/>
        </w:rPr>
        <w:t>Wskazane w projekcie Audytu krajobrazowego wytyczne określone jako rekomendacje i wnioski dotyczące kształtowania i ochrony krajobrazu priorytetowego, pomimo użytej nazwy rekomendacji, często bywają zakazem, nakazem oraz ograniczeniem korzystania przez właściciela ze swej własności</w:t>
      </w:r>
      <w:r w:rsidR="00B84F33">
        <w:rPr>
          <w:rFonts w:ascii="Times New Roman" w:hAnsi="Times New Roman" w:cs="Times New Roman"/>
          <w:bCs/>
        </w:rPr>
        <w:t>. P</w:t>
      </w:r>
      <w:r w:rsidRPr="00935321">
        <w:rPr>
          <w:rFonts w:ascii="Times New Roman" w:hAnsi="Times New Roman" w:cs="Times New Roman"/>
          <w:bCs/>
        </w:rPr>
        <w:t>ropozycja usunięcia aktualn</w:t>
      </w:r>
      <w:r w:rsidR="00B84F33">
        <w:rPr>
          <w:rFonts w:ascii="Times New Roman" w:hAnsi="Times New Roman" w:cs="Times New Roman"/>
          <w:bCs/>
        </w:rPr>
        <w:t>ych</w:t>
      </w:r>
      <w:r w:rsidRPr="00935321">
        <w:rPr>
          <w:rFonts w:ascii="Times New Roman" w:hAnsi="Times New Roman" w:cs="Times New Roman"/>
          <w:bCs/>
        </w:rPr>
        <w:t xml:space="preserve"> zapis</w:t>
      </w:r>
      <w:r w:rsidR="00B84F33">
        <w:rPr>
          <w:rFonts w:ascii="Times New Roman" w:hAnsi="Times New Roman" w:cs="Times New Roman"/>
          <w:bCs/>
        </w:rPr>
        <w:t>ów</w:t>
      </w:r>
      <w:r w:rsidRPr="00935321">
        <w:rPr>
          <w:rFonts w:ascii="Times New Roman" w:hAnsi="Times New Roman" w:cs="Times New Roman"/>
          <w:bCs/>
        </w:rPr>
        <w:t>:</w:t>
      </w:r>
    </w:p>
    <w:p w14:paraId="7F537AF7" w14:textId="4AE98086" w:rsidR="00935321" w:rsidRPr="00935321" w:rsidRDefault="00935321" w:rsidP="00935321">
      <w:pPr>
        <w:spacing w:line="240" w:lineRule="auto"/>
        <w:jc w:val="both"/>
        <w:rPr>
          <w:rFonts w:ascii="Times New Roman" w:hAnsi="Times New Roman" w:cs="Times New Roman"/>
          <w:bCs/>
        </w:rPr>
      </w:pPr>
      <w:r w:rsidRPr="00935321">
        <w:rPr>
          <w:rFonts w:ascii="Times New Roman" w:hAnsi="Times New Roman" w:cs="Times New Roman"/>
          <w:bCs/>
        </w:rPr>
        <w:t xml:space="preserve"> – w ramach zadań mających na celu co najmniej zachowanie dotychczasowego stanu krajobrazu i właściwego ich kształtowania </w:t>
      </w:r>
      <w:r w:rsidRPr="00935321">
        <w:rPr>
          <w:rFonts w:ascii="Times New Roman" w:hAnsi="Times New Roman" w:cs="Times New Roman"/>
          <w:bCs/>
          <w:u w:val="single"/>
        </w:rPr>
        <w:t>(dziedzictwo przyrodnicze – rzeźba terenu)</w:t>
      </w:r>
      <w:r w:rsidRPr="00935321">
        <w:rPr>
          <w:rFonts w:ascii="Times New Roman" w:hAnsi="Times New Roman" w:cs="Times New Roman"/>
          <w:bCs/>
        </w:rPr>
        <w:t xml:space="preserve"> zakaz wydobywania kruszyw naturalnych, przekształcanie gruntów ornych w trwałe użytki zielone na stokach o nachyleniu powyżej 10</w:t>
      </w:r>
      <w:r w:rsidRPr="00935321">
        <w:rPr>
          <w:rFonts w:ascii="Times New Roman" w:hAnsi="Times New Roman" w:cs="Times New Roman"/>
          <w:bCs/>
          <w:vertAlign w:val="superscript"/>
        </w:rPr>
        <w:t>o</w:t>
      </w:r>
      <w:r w:rsidRPr="00935321">
        <w:rPr>
          <w:rFonts w:ascii="Times New Roman" w:hAnsi="Times New Roman" w:cs="Times New Roman"/>
          <w:bCs/>
        </w:rPr>
        <w:t xml:space="preserve"> – sprawy te regulują odpowiednie przepisy, a proponowane zapisy są daleko idącą ingerencją w prawo własności gruntów rolnych;</w:t>
      </w:r>
    </w:p>
    <w:p w14:paraId="16DB7D0D" w14:textId="4D30A51A" w:rsidR="00935321" w:rsidRPr="00935321" w:rsidRDefault="00935321" w:rsidP="00935321">
      <w:pPr>
        <w:spacing w:line="240" w:lineRule="auto"/>
        <w:jc w:val="both"/>
        <w:rPr>
          <w:rFonts w:ascii="Times New Roman" w:hAnsi="Times New Roman" w:cs="Times New Roman"/>
          <w:bCs/>
        </w:rPr>
      </w:pPr>
      <w:r w:rsidRPr="00935321">
        <w:rPr>
          <w:rFonts w:ascii="Times New Roman" w:hAnsi="Times New Roman" w:cs="Times New Roman"/>
          <w:bCs/>
        </w:rPr>
        <w:t>- w ramach zadań mających na celu co najmniej zachowanie dotychczasowego stanu krajobrazu i właściwego ich kształtowania (</w:t>
      </w:r>
      <w:r w:rsidRPr="00935321">
        <w:rPr>
          <w:rFonts w:ascii="Times New Roman" w:hAnsi="Times New Roman" w:cs="Times New Roman"/>
          <w:bCs/>
          <w:u w:val="single"/>
        </w:rPr>
        <w:t xml:space="preserve">dziedzictwo przyrodnicze – ekosystemy i struktura ekologiczna krajobrazu) </w:t>
      </w:r>
      <w:r w:rsidRPr="00935321">
        <w:rPr>
          <w:rFonts w:ascii="Times New Roman" w:hAnsi="Times New Roman" w:cs="Times New Roman"/>
          <w:bCs/>
        </w:rPr>
        <w:t xml:space="preserve">- ochrona i utrzymanie </w:t>
      </w:r>
      <w:proofErr w:type="spellStart"/>
      <w:r w:rsidRPr="00935321">
        <w:rPr>
          <w:rFonts w:ascii="Times New Roman" w:hAnsi="Times New Roman" w:cs="Times New Roman"/>
          <w:bCs/>
        </w:rPr>
        <w:t>zadrzewień</w:t>
      </w:r>
      <w:proofErr w:type="spellEnd"/>
      <w:r w:rsidRPr="00935321">
        <w:rPr>
          <w:rFonts w:ascii="Times New Roman" w:hAnsi="Times New Roman" w:cs="Times New Roman"/>
          <w:bCs/>
        </w:rPr>
        <w:t xml:space="preserve"> śródpolnych, oczek</w:t>
      </w:r>
      <w:r w:rsidR="00B84F33">
        <w:rPr>
          <w:rFonts w:ascii="Times New Roman" w:hAnsi="Times New Roman" w:cs="Times New Roman"/>
          <w:bCs/>
        </w:rPr>
        <w:t xml:space="preserve"> </w:t>
      </w:r>
      <w:r w:rsidRPr="00935321">
        <w:rPr>
          <w:rFonts w:ascii="Times New Roman" w:hAnsi="Times New Roman" w:cs="Times New Roman"/>
          <w:bCs/>
        </w:rPr>
        <w:t>wodnych i mokradeł, ograniczenie powierzchniowego grodzenia terenów rolnych, w celu eliminacji barier ekologicznych, eliminacja roślinnych gatunków inwazyjnych ze środowiska,</w:t>
      </w:r>
      <w:r w:rsidR="00B84F33">
        <w:rPr>
          <w:rFonts w:ascii="Times New Roman" w:hAnsi="Times New Roman" w:cs="Times New Roman"/>
          <w:bCs/>
        </w:rPr>
        <w:t xml:space="preserve"> </w:t>
      </w:r>
      <w:r w:rsidRPr="00935321">
        <w:rPr>
          <w:rFonts w:ascii="Times New Roman" w:hAnsi="Times New Roman" w:cs="Times New Roman"/>
          <w:bCs/>
        </w:rPr>
        <w:t xml:space="preserve">w szczególności nawłoci kanadyjskiej, kształtowanie stref </w:t>
      </w:r>
      <w:proofErr w:type="spellStart"/>
      <w:r w:rsidRPr="00935321">
        <w:rPr>
          <w:rFonts w:ascii="Times New Roman" w:hAnsi="Times New Roman" w:cs="Times New Roman"/>
          <w:bCs/>
        </w:rPr>
        <w:t>ekotonowych</w:t>
      </w:r>
      <w:proofErr w:type="spellEnd"/>
      <w:r w:rsidRPr="00935321">
        <w:rPr>
          <w:rFonts w:ascii="Times New Roman" w:hAnsi="Times New Roman" w:cs="Times New Roman"/>
          <w:bCs/>
        </w:rPr>
        <w:t xml:space="preserve"> na granicy pól i lasów – zapisy ingerują w prawo własności gruntów rolnych i zadania te zawsze leżą w kompetencjach samorządu gminnego;</w:t>
      </w:r>
    </w:p>
    <w:p w14:paraId="5DB15D4D" w14:textId="01A2894E" w:rsidR="00935321" w:rsidRPr="00935321" w:rsidRDefault="00935321" w:rsidP="00935321">
      <w:pPr>
        <w:spacing w:line="240" w:lineRule="auto"/>
        <w:jc w:val="both"/>
        <w:rPr>
          <w:rFonts w:ascii="Times New Roman" w:hAnsi="Times New Roman" w:cs="Times New Roman"/>
          <w:bCs/>
        </w:rPr>
      </w:pPr>
      <w:r w:rsidRPr="00935321">
        <w:rPr>
          <w:rFonts w:ascii="Times New Roman" w:hAnsi="Times New Roman" w:cs="Times New Roman"/>
          <w:bCs/>
        </w:rPr>
        <w:t>- w ramach zadań mających na celu co najmniej zachowanie dotychczasowego stanu krajobrazu i właściwego ich kształtowania (</w:t>
      </w:r>
      <w:r w:rsidRPr="00935321">
        <w:rPr>
          <w:rFonts w:ascii="Times New Roman" w:hAnsi="Times New Roman" w:cs="Times New Roman"/>
          <w:bCs/>
          <w:u w:val="single"/>
        </w:rPr>
        <w:t>dziedzictwo kulturowe i fizjonomia krajobrazu – osadnictwo)</w:t>
      </w:r>
      <w:r w:rsidRPr="00935321">
        <w:rPr>
          <w:rFonts w:ascii="Times New Roman" w:hAnsi="Times New Roman" w:cs="Times New Roman"/>
          <w:bCs/>
        </w:rPr>
        <w:t xml:space="preserve"> – ograniczenie zabudowy do terenów istniejących wsi, nowa zabudowa powinna nawiązywać do lokalnych form architektonicznych, ochrona historycznych gabarytów, kształtów dachów, elewacji i układu okien budynków przed przekształceniami, w budynkach historycznych ceglanych lub tynkowanych posiadających dekoracje fasadowe stosowanie ociepleń wewnętrznych lub odtworzenie elewacji po ociepleniu zewnętrznym – proponowane zapisy ingerują w prawo własności nieruchomości;</w:t>
      </w:r>
    </w:p>
    <w:p w14:paraId="7745F1FD" w14:textId="6011913E" w:rsidR="00935321" w:rsidRPr="00935321" w:rsidRDefault="00935321" w:rsidP="00935321">
      <w:pPr>
        <w:spacing w:line="240" w:lineRule="auto"/>
        <w:jc w:val="both"/>
        <w:rPr>
          <w:rFonts w:ascii="Times New Roman" w:hAnsi="Times New Roman" w:cs="Times New Roman"/>
          <w:bCs/>
        </w:rPr>
      </w:pPr>
      <w:r w:rsidRPr="00935321">
        <w:rPr>
          <w:rFonts w:ascii="Times New Roman" w:hAnsi="Times New Roman" w:cs="Times New Roman"/>
          <w:bCs/>
        </w:rPr>
        <w:t>- w ramach zadań mających na celu co najmniej zachowanie dotychczasowego stanu krajobrazu i właściwego ich kształtowania (</w:t>
      </w:r>
      <w:r w:rsidRPr="00935321">
        <w:rPr>
          <w:rFonts w:ascii="Times New Roman" w:hAnsi="Times New Roman" w:cs="Times New Roman"/>
          <w:bCs/>
          <w:u w:val="single"/>
        </w:rPr>
        <w:t>dziedzictwo kulturowe i fizjonomia krajobrazu – kompozycja, ład przestrzenny i walory estetyczne)</w:t>
      </w:r>
      <w:r w:rsidRPr="00935321">
        <w:rPr>
          <w:rFonts w:ascii="Times New Roman" w:hAnsi="Times New Roman" w:cs="Times New Roman"/>
          <w:bCs/>
        </w:rPr>
        <w:t xml:space="preserve"> - ograniczenie lokalizacji masztów telefonii komórkowej, współpraca z innymi podmiotami w zakresie ich lokalizowania i maskowania, niestosowanie malowania przeszkodowego masztów w sytuacji, gdy nie są one przeszkodą lotniczą (kwestie te regulują odrębne przepisy, a proponowane zapisy są daleko idącą ingerencją w prawo własności nieruchomości;</w:t>
      </w:r>
    </w:p>
    <w:p w14:paraId="2300E6D6" w14:textId="4C1905A1" w:rsidR="00935321" w:rsidRPr="00935321" w:rsidRDefault="00935321" w:rsidP="00935321">
      <w:pPr>
        <w:spacing w:line="240" w:lineRule="auto"/>
        <w:jc w:val="both"/>
        <w:rPr>
          <w:rFonts w:ascii="Times New Roman" w:hAnsi="Times New Roman" w:cs="Times New Roman"/>
          <w:bCs/>
        </w:rPr>
      </w:pPr>
      <w:r w:rsidRPr="00935321">
        <w:rPr>
          <w:rFonts w:ascii="Times New Roman" w:hAnsi="Times New Roman" w:cs="Times New Roman"/>
          <w:bCs/>
        </w:rPr>
        <w:t>- w ramach zadań mających na celu co najmniej zachowanie dotychczasowego stanu krajobrazu i właściwego ich kształtowania (</w:t>
      </w:r>
      <w:r w:rsidRPr="00935321">
        <w:rPr>
          <w:rFonts w:ascii="Times New Roman" w:hAnsi="Times New Roman" w:cs="Times New Roman"/>
          <w:bCs/>
          <w:u w:val="single"/>
        </w:rPr>
        <w:t>dziedzictwo kulturowe i fizjonomia krajobrazu – zieleń komponowana)</w:t>
      </w:r>
      <w:r w:rsidRPr="00935321">
        <w:rPr>
          <w:rFonts w:ascii="Times New Roman" w:hAnsi="Times New Roman" w:cs="Times New Roman"/>
          <w:bCs/>
        </w:rPr>
        <w:t xml:space="preserve"> - ochrona i pielęgnacja bądź </w:t>
      </w:r>
      <w:proofErr w:type="spellStart"/>
      <w:r w:rsidRPr="00935321">
        <w:rPr>
          <w:rFonts w:ascii="Times New Roman" w:hAnsi="Times New Roman" w:cs="Times New Roman"/>
          <w:bCs/>
        </w:rPr>
        <w:t>rekompozycja</w:t>
      </w:r>
      <w:proofErr w:type="spellEnd"/>
      <w:r w:rsidRPr="00935321">
        <w:rPr>
          <w:rFonts w:ascii="Times New Roman" w:hAnsi="Times New Roman" w:cs="Times New Roman"/>
          <w:bCs/>
        </w:rPr>
        <w:t xml:space="preserve"> parku dworskiego przy pałacu we wsi Gogolice, zachowanie i pielęgnacja drzewostanu oraz pozostałości nagrobków dawnego cmentarza ewangelickiego przy kościele w Gogolicach, ochrona i pielęgnacja parku dworskiego we wsi Chełm Górny - kwestie te regulują odrębne przepisy np. o ochronie zabytków;</w:t>
      </w:r>
    </w:p>
    <w:p w14:paraId="25B5703A" w14:textId="3BDEC4F8" w:rsidR="00935321" w:rsidRPr="00935321" w:rsidRDefault="00935321" w:rsidP="00935321">
      <w:pPr>
        <w:spacing w:line="240" w:lineRule="auto"/>
        <w:jc w:val="both"/>
        <w:rPr>
          <w:rFonts w:ascii="Times New Roman" w:hAnsi="Times New Roman" w:cs="Times New Roman"/>
          <w:bCs/>
        </w:rPr>
      </w:pPr>
      <w:r w:rsidRPr="00935321">
        <w:rPr>
          <w:rFonts w:ascii="Times New Roman" w:hAnsi="Times New Roman" w:cs="Times New Roman"/>
          <w:bCs/>
        </w:rPr>
        <w:t>- w ramach zadań mających na celu co najmniej zachowanie dotychczasowego stanu krajobrazu i właściwego ich kształtowania (</w:t>
      </w:r>
      <w:r w:rsidRPr="00935321">
        <w:rPr>
          <w:rFonts w:ascii="Times New Roman" w:hAnsi="Times New Roman" w:cs="Times New Roman"/>
          <w:bCs/>
          <w:u w:val="single"/>
        </w:rPr>
        <w:t xml:space="preserve">Walory akustyczne, zapachowe i sanitarne – walory sanitarne) </w:t>
      </w:r>
      <w:r w:rsidRPr="00935321">
        <w:rPr>
          <w:rFonts w:ascii="Times New Roman" w:hAnsi="Times New Roman" w:cs="Times New Roman"/>
          <w:bCs/>
        </w:rPr>
        <w:t>- regularne usuwanie odpadów stałych, usunięcie śmieci z nielegalnego wyrobiska piasku we wsi Gogolice – gmina Trzcińsko – Zdrój monitoruje potencjalne stanowiska nielegalnych wysypisk śmieci i w miarę posiadanych środków likwiduje takowe;</w:t>
      </w:r>
    </w:p>
    <w:p w14:paraId="3EE3E506" w14:textId="6C372D37" w:rsidR="00935321" w:rsidRPr="00935321" w:rsidRDefault="00935321" w:rsidP="00935321">
      <w:pPr>
        <w:spacing w:line="240" w:lineRule="auto"/>
        <w:jc w:val="both"/>
        <w:rPr>
          <w:rFonts w:ascii="Times New Roman" w:hAnsi="Times New Roman" w:cs="Times New Roman"/>
          <w:bCs/>
        </w:rPr>
      </w:pPr>
      <w:r w:rsidRPr="00935321">
        <w:rPr>
          <w:rFonts w:ascii="Times New Roman" w:hAnsi="Times New Roman" w:cs="Times New Roman"/>
          <w:bCs/>
        </w:rPr>
        <w:t xml:space="preserve">- wytyczne do gminnych aktów planistycznych – zachowanie lub przywracanie </w:t>
      </w:r>
      <w:proofErr w:type="spellStart"/>
      <w:r w:rsidRPr="00935321">
        <w:rPr>
          <w:rFonts w:ascii="Times New Roman" w:hAnsi="Times New Roman" w:cs="Times New Roman"/>
          <w:bCs/>
        </w:rPr>
        <w:t>zadrzewień</w:t>
      </w:r>
      <w:proofErr w:type="spellEnd"/>
      <w:r w:rsidRPr="00935321">
        <w:rPr>
          <w:rFonts w:ascii="Times New Roman" w:hAnsi="Times New Roman" w:cs="Times New Roman"/>
          <w:bCs/>
        </w:rPr>
        <w:t xml:space="preserve"> śródpolnych wzdłuż ciągów komunikacyjnych, zachowanie ładu przestrzennego i harmonijnej zabudowy poprzez </w:t>
      </w:r>
      <w:r w:rsidRPr="00935321">
        <w:rPr>
          <w:rFonts w:ascii="Times New Roman" w:hAnsi="Times New Roman" w:cs="Times New Roman"/>
          <w:bCs/>
        </w:rPr>
        <w:lastRenderedPageBreak/>
        <w:t>ujednolicenie form zabudowy, stosowanie stonowanej kolorystyki, wykluczenie lokalizacji obiektów tymczasowych, ograniczenia zabudowy do terenów istniejących wsi, wyłącznie w formie zabudowy wskazanej w wytycznych w zakresie kształtowania i zabudowy i zagospodarowania  – proponuję usunąć te zapisy, gdyż wspomniane kwestie w sprawie zabudowy i zagospodarowania terenu regulują m.in. decyzje administracyjne tj. o warunkach i zagospodarowaniu terenu, proponowany zapis jest ingerencją w prawo własności nieruchomości;</w:t>
      </w:r>
    </w:p>
    <w:p w14:paraId="7241E461" w14:textId="67A3EB11" w:rsidR="00935321" w:rsidRPr="00935321" w:rsidRDefault="00935321" w:rsidP="00935321">
      <w:pPr>
        <w:spacing w:line="240" w:lineRule="auto"/>
        <w:jc w:val="both"/>
        <w:rPr>
          <w:rFonts w:ascii="Times New Roman" w:hAnsi="Times New Roman" w:cs="Times New Roman"/>
          <w:bCs/>
        </w:rPr>
      </w:pPr>
      <w:r w:rsidRPr="00935321">
        <w:rPr>
          <w:rFonts w:ascii="Times New Roman" w:hAnsi="Times New Roman" w:cs="Times New Roman"/>
          <w:bCs/>
        </w:rPr>
        <w:t xml:space="preserve">-  </w:t>
      </w:r>
      <w:r w:rsidR="00795092">
        <w:rPr>
          <w:rFonts w:ascii="Times New Roman" w:hAnsi="Times New Roman" w:cs="Times New Roman"/>
          <w:bCs/>
        </w:rPr>
        <w:t>w</w:t>
      </w:r>
      <w:r w:rsidRPr="00935321">
        <w:rPr>
          <w:rFonts w:ascii="Times New Roman" w:hAnsi="Times New Roman" w:cs="Times New Roman"/>
          <w:bCs/>
        </w:rPr>
        <w:t>ytyczne w zakresie kształtowania zabudowy i zagospodarowania na podstawie zidentyfikowanych lokalnych form architektury. W obszarze krajobrazu rekomenduje się dwie formy budynków mieszkalnych wraz z ich granicznymi parametrami - dom z dachem dwuspadowym w zabudowie wolnostojącej, bliźniaczej lub szeregowej w miejscowościach Chełm Górny, Chełm Dolny i Gogolice:</w:t>
      </w:r>
    </w:p>
    <w:p w14:paraId="7E6E0D49" w14:textId="5E76C43C" w:rsidR="00935321" w:rsidRPr="00935321" w:rsidRDefault="00935321" w:rsidP="00935321">
      <w:pPr>
        <w:spacing w:line="240" w:lineRule="auto"/>
        <w:jc w:val="both"/>
        <w:rPr>
          <w:rFonts w:ascii="Times New Roman" w:hAnsi="Times New Roman" w:cs="Times New Roman"/>
          <w:bCs/>
        </w:rPr>
      </w:pPr>
      <w:r w:rsidRPr="00935321">
        <w:rPr>
          <w:rFonts w:ascii="Times New Roman" w:hAnsi="Times New Roman" w:cs="Times New Roman"/>
          <w:bCs/>
        </w:rPr>
        <w:t xml:space="preserve"> a) w zakresie elewacji frontowej, kalenicowej: − szerokość od 12,0 m do 40,0 m (w zależności od liczby segmentów), − wysokość 2,5 - 4,0 m, − elewacja o jednej płaszczyźnie (z dopuszczeniem centralnie usytuowanego ryzalitu dla zabudowy wolnostojącej), ceglana tynkowana lub z cegły elewacyjnej (ewentualnie wykończona płytą ceglaną w kolorze klinkieru), dopuszczone wykończenie elewacji drewnem, − zalecane ozdobne obramowania otworów, − zalecana kamienna podmurówka, − zalecane wejście zlokalizowane w elewacji frontowej -bez ganku, − otwory okienne o jednakowych wymiarach, pionowe, prostokątne o podziale stolarki symetrycznym względem osi pionowej, − zakaz sytuowania bramy garażowej;</w:t>
      </w:r>
    </w:p>
    <w:p w14:paraId="5F0097AA" w14:textId="77777777" w:rsidR="00935321" w:rsidRPr="00935321" w:rsidRDefault="00935321" w:rsidP="00935321">
      <w:pPr>
        <w:spacing w:line="240" w:lineRule="auto"/>
        <w:jc w:val="both"/>
        <w:rPr>
          <w:rFonts w:ascii="Times New Roman" w:hAnsi="Times New Roman" w:cs="Times New Roman"/>
          <w:bCs/>
        </w:rPr>
      </w:pPr>
      <w:r w:rsidRPr="00935321">
        <w:rPr>
          <w:rFonts w:ascii="Times New Roman" w:hAnsi="Times New Roman" w:cs="Times New Roman"/>
          <w:bCs/>
        </w:rPr>
        <w:t>b) bocznej: − elewacja o jednej płaszczyźnie, ceglana tynkowana lub z cegły elewacyjnej (ewentualnie wykończona płytą ceglaną w kolorze klinkieru),</w:t>
      </w:r>
    </w:p>
    <w:p w14:paraId="586A7438" w14:textId="0D531E26" w:rsidR="00935321" w:rsidRPr="00935321" w:rsidRDefault="00935321" w:rsidP="00935321">
      <w:pPr>
        <w:spacing w:line="240" w:lineRule="auto"/>
        <w:jc w:val="both"/>
        <w:rPr>
          <w:rFonts w:ascii="Times New Roman" w:hAnsi="Times New Roman" w:cs="Times New Roman"/>
          <w:bCs/>
        </w:rPr>
      </w:pPr>
      <w:r w:rsidRPr="00935321">
        <w:rPr>
          <w:rFonts w:ascii="Times New Roman" w:hAnsi="Times New Roman" w:cs="Times New Roman"/>
          <w:bCs/>
        </w:rPr>
        <w:t>− otwory okienne pionowe, prostokątne o podziale stolarki symetrycznym względem osi pionowej, mogą różnić się wymiarami i proporcjami w zależności od kondygnacji, − w przypadku wejścia usytuowanego w elewacji bocznej – brak ganku, − zakaz sytuowania bramy garażowej;</w:t>
      </w:r>
    </w:p>
    <w:p w14:paraId="06F96722" w14:textId="77777777" w:rsidR="00935321" w:rsidRPr="00935321" w:rsidRDefault="00935321" w:rsidP="00935321">
      <w:pPr>
        <w:spacing w:line="240" w:lineRule="auto"/>
        <w:jc w:val="both"/>
        <w:rPr>
          <w:rFonts w:ascii="Times New Roman" w:hAnsi="Times New Roman" w:cs="Times New Roman"/>
          <w:bCs/>
        </w:rPr>
      </w:pPr>
      <w:r w:rsidRPr="00935321">
        <w:rPr>
          <w:rFonts w:ascii="Times New Roman" w:hAnsi="Times New Roman" w:cs="Times New Roman"/>
          <w:bCs/>
        </w:rPr>
        <w:t>c) w zakresie wysokości budynku:</w:t>
      </w:r>
    </w:p>
    <w:p w14:paraId="0757A390" w14:textId="48B83DF1" w:rsidR="00935321" w:rsidRPr="00935321" w:rsidRDefault="00935321" w:rsidP="00935321">
      <w:pPr>
        <w:spacing w:line="240" w:lineRule="auto"/>
        <w:jc w:val="both"/>
        <w:rPr>
          <w:rFonts w:ascii="Times New Roman" w:hAnsi="Times New Roman" w:cs="Times New Roman"/>
          <w:bCs/>
        </w:rPr>
      </w:pPr>
      <w:r w:rsidRPr="00935321">
        <w:rPr>
          <w:rFonts w:ascii="Times New Roman" w:hAnsi="Times New Roman" w:cs="Times New Roman"/>
          <w:bCs/>
        </w:rPr>
        <w:t>− wysokość od 8,0 do 10,5 m;</w:t>
      </w:r>
    </w:p>
    <w:p w14:paraId="482A8BE7" w14:textId="77777777" w:rsidR="00935321" w:rsidRPr="00935321" w:rsidRDefault="00935321" w:rsidP="00935321">
      <w:pPr>
        <w:spacing w:line="240" w:lineRule="auto"/>
        <w:jc w:val="both"/>
        <w:rPr>
          <w:rFonts w:ascii="Times New Roman" w:hAnsi="Times New Roman" w:cs="Times New Roman"/>
          <w:bCs/>
        </w:rPr>
      </w:pPr>
      <w:r w:rsidRPr="00935321">
        <w:rPr>
          <w:rFonts w:ascii="Times New Roman" w:hAnsi="Times New Roman" w:cs="Times New Roman"/>
          <w:bCs/>
        </w:rPr>
        <w:t>d) w zakresie formy dachu:</w:t>
      </w:r>
    </w:p>
    <w:p w14:paraId="4BA59E57" w14:textId="167DCD1C" w:rsidR="00935321" w:rsidRPr="00935321" w:rsidRDefault="00935321" w:rsidP="00935321">
      <w:pPr>
        <w:spacing w:line="240" w:lineRule="auto"/>
        <w:jc w:val="both"/>
        <w:rPr>
          <w:rFonts w:ascii="Times New Roman" w:hAnsi="Times New Roman" w:cs="Times New Roman"/>
          <w:bCs/>
        </w:rPr>
      </w:pPr>
      <w:r w:rsidRPr="00935321">
        <w:rPr>
          <w:rFonts w:ascii="Times New Roman" w:hAnsi="Times New Roman" w:cs="Times New Roman"/>
          <w:bCs/>
        </w:rPr>
        <w:t>− dwuspadowy prosty lub dwuspadowy naczółkowy w układzie kalenicowym (dla miejscowości Gogolice dopuszczone jest szczytowe usytuowanie obiektu) względem frontu działki, o kącie nachylenia od 35° do 45°, dopuszczona centralnie usytuowana lukarna, która może stanowić także nadbudowę ryzalitu – w przypadku zabudowy wolnostojącej,</w:t>
      </w:r>
    </w:p>
    <w:p w14:paraId="2BB85908" w14:textId="77777777" w:rsidR="00935321" w:rsidRPr="00935321" w:rsidRDefault="00935321" w:rsidP="00935321">
      <w:pPr>
        <w:spacing w:line="240" w:lineRule="auto"/>
        <w:jc w:val="both"/>
        <w:rPr>
          <w:rFonts w:ascii="Times New Roman" w:hAnsi="Times New Roman" w:cs="Times New Roman"/>
          <w:bCs/>
        </w:rPr>
      </w:pPr>
      <w:r w:rsidRPr="00935321">
        <w:rPr>
          <w:rFonts w:ascii="Times New Roman" w:hAnsi="Times New Roman" w:cs="Times New Roman"/>
          <w:bCs/>
        </w:rPr>
        <w:t>− w połaci frontowej okna połaciowe w osiach otworów okiennych parteru, szerokość okapu do 40 cm, wysunięcie połaci poza ścianę szczytową do 20 cm, kalenica na jednej wysokości przez całą długość elewacji (z dopuszczeniem naczółków), okap na jednej wysokości,</w:t>
      </w:r>
    </w:p>
    <w:p w14:paraId="5A3C512F" w14:textId="77777777" w:rsidR="00935321" w:rsidRPr="00935321" w:rsidRDefault="00935321" w:rsidP="00935321">
      <w:pPr>
        <w:spacing w:line="240" w:lineRule="auto"/>
        <w:jc w:val="both"/>
        <w:rPr>
          <w:rFonts w:ascii="Times New Roman" w:hAnsi="Times New Roman" w:cs="Times New Roman"/>
          <w:bCs/>
        </w:rPr>
      </w:pPr>
      <w:r w:rsidRPr="00935321">
        <w:rPr>
          <w:rFonts w:ascii="Times New Roman" w:hAnsi="Times New Roman" w:cs="Times New Roman"/>
          <w:bCs/>
        </w:rPr>
        <w:t>− pokrycie dachu: dachówka, blacha w odcieniach brązu RAL 8000 – 8029 lub czerwieni RAL</w:t>
      </w:r>
    </w:p>
    <w:p w14:paraId="391EE501" w14:textId="77993047" w:rsidR="00935321" w:rsidRPr="00935321" w:rsidRDefault="00935321" w:rsidP="00935321">
      <w:pPr>
        <w:spacing w:line="240" w:lineRule="auto"/>
        <w:jc w:val="both"/>
        <w:rPr>
          <w:rFonts w:ascii="Times New Roman" w:hAnsi="Times New Roman" w:cs="Times New Roman"/>
          <w:bCs/>
        </w:rPr>
      </w:pPr>
      <w:r w:rsidRPr="00935321">
        <w:rPr>
          <w:rFonts w:ascii="Times New Roman" w:hAnsi="Times New Roman" w:cs="Times New Roman"/>
          <w:bCs/>
        </w:rPr>
        <w:t>Wskazane kwestie w sprawie zabudowy i zagospodarowania terenu regulują m.in. decyzje o warunkach zabudowy, a zapisy te ingerują w prawo własności nieruchomości</w:t>
      </w:r>
      <w:r w:rsidR="00795092">
        <w:rPr>
          <w:rFonts w:ascii="Times New Roman" w:hAnsi="Times New Roman" w:cs="Times New Roman"/>
          <w:bCs/>
        </w:rPr>
        <w:t>;</w:t>
      </w:r>
      <w:r w:rsidRPr="00935321">
        <w:rPr>
          <w:rFonts w:ascii="Times New Roman" w:hAnsi="Times New Roman" w:cs="Times New Roman"/>
          <w:bCs/>
        </w:rPr>
        <w:t xml:space="preserve"> </w:t>
      </w:r>
    </w:p>
    <w:p w14:paraId="71441F84" w14:textId="55168C04" w:rsidR="00935321" w:rsidRPr="00935321" w:rsidRDefault="00935321" w:rsidP="00935321">
      <w:pPr>
        <w:spacing w:line="240" w:lineRule="auto"/>
        <w:jc w:val="both"/>
        <w:rPr>
          <w:rFonts w:ascii="Times New Roman" w:hAnsi="Times New Roman" w:cs="Times New Roman"/>
          <w:bCs/>
        </w:rPr>
      </w:pPr>
      <w:r w:rsidRPr="00935321">
        <w:rPr>
          <w:rFonts w:ascii="Times New Roman" w:hAnsi="Times New Roman" w:cs="Times New Roman"/>
          <w:bCs/>
        </w:rPr>
        <w:t xml:space="preserve">- </w:t>
      </w:r>
      <w:r w:rsidR="00795092">
        <w:rPr>
          <w:rFonts w:ascii="Times New Roman" w:hAnsi="Times New Roman" w:cs="Times New Roman"/>
          <w:bCs/>
        </w:rPr>
        <w:t>w</w:t>
      </w:r>
      <w:r w:rsidRPr="00935321">
        <w:rPr>
          <w:rFonts w:ascii="Times New Roman" w:hAnsi="Times New Roman" w:cs="Times New Roman"/>
          <w:bCs/>
        </w:rPr>
        <w:t>ytyczne w zakresie kształtowania zabudowy i zagospodarowania na podstawie zidentyfikowanych lokalnych form architektury. Ustalenia w zakresie małej architektury - Ogrodzenie/płot: ażurowe, drewniane lub metalowe ogrodzenie o pionowych sztachetach; słupki pomiędzy przęsłami drewniane, metalowe lub murowane (ceglane albo kamienne) wskazane kwestie regulują odrębne przepisy</w:t>
      </w:r>
      <w:r w:rsidR="00795092">
        <w:rPr>
          <w:rFonts w:ascii="Times New Roman" w:hAnsi="Times New Roman" w:cs="Times New Roman"/>
          <w:bCs/>
        </w:rPr>
        <w:t>,</w:t>
      </w:r>
      <w:r w:rsidRPr="00935321">
        <w:rPr>
          <w:rFonts w:ascii="Times New Roman" w:hAnsi="Times New Roman" w:cs="Times New Roman"/>
          <w:bCs/>
        </w:rPr>
        <w:t xml:space="preserve"> a  proponowany zapis ingeruje w prawo własności nieruchomości.</w:t>
      </w:r>
    </w:p>
    <w:p w14:paraId="5D7A0815" w14:textId="77777777" w:rsidR="00935321" w:rsidRPr="00935321" w:rsidRDefault="00935321" w:rsidP="00935321">
      <w:pPr>
        <w:spacing w:line="240" w:lineRule="auto"/>
        <w:jc w:val="both"/>
        <w:rPr>
          <w:rFonts w:ascii="Times New Roman" w:hAnsi="Times New Roman" w:cs="Times New Roman"/>
          <w:bCs/>
        </w:rPr>
      </w:pPr>
    </w:p>
    <w:p w14:paraId="2D94F4A8" w14:textId="77777777" w:rsidR="00935321" w:rsidRPr="00935321" w:rsidRDefault="00935321" w:rsidP="00935321">
      <w:pPr>
        <w:jc w:val="both"/>
        <w:rPr>
          <w:rFonts w:ascii="Times New Roman" w:hAnsi="Times New Roman" w:cs="Times New Roman"/>
          <w:bCs/>
        </w:rPr>
      </w:pPr>
    </w:p>
    <w:p w14:paraId="467AA181" w14:textId="77777777" w:rsidR="00935321" w:rsidRPr="00935321" w:rsidRDefault="00935321" w:rsidP="00935321">
      <w:pPr>
        <w:jc w:val="both"/>
        <w:rPr>
          <w:rFonts w:ascii="Times New Roman" w:hAnsi="Times New Roman" w:cs="Times New Roman"/>
          <w:bCs/>
        </w:rPr>
      </w:pPr>
    </w:p>
    <w:p w14:paraId="6992AED9" w14:textId="77777777" w:rsidR="00935321" w:rsidRPr="00935321" w:rsidRDefault="00935321" w:rsidP="00935321">
      <w:pPr>
        <w:jc w:val="both"/>
        <w:rPr>
          <w:rFonts w:ascii="Times New Roman" w:hAnsi="Times New Roman" w:cs="Times New Roman"/>
          <w:bCs/>
        </w:rPr>
      </w:pPr>
    </w:p>
    <w:p w14:paraId="555C2A95" w14:textId="77777777" w:rsidR="00795092" w:rsidRDefault="00795092" w:rsidP="00935321">
      <w:pPr>
        <w:jc w:val="center"/>
        <w:rPr>
          <w:rFonts w:ascii="Times New Roman" w:hAnsi="Times New Roman" w:cs="Times New Roman"/>
          <w:b/>
          <w:bCs/>
        </w:rPr>
      </w:pPr>
    </w:p>
    <w:p w14:paraId="1B0B3E27" w14:textId="5D064A45" w:rsidR="00935321" w:rsidRPr="00935321" w:rsidRDefault="00935321" w:rsidP="00795092">
      <w:pPr>
        <w:rPr>
          <w:rFonts w:ascii="Times New Roman" w:hAnsi="Times New Roman" w:cs="Times New Roman"/>
          <w:b/>
          <w:bCs/>
        </w:rPr>
      </w:pPr>
      <w:r w:rsidRPr="00935321">
        <w:rPr>
          <w:rFonts w:ascii="Times New Roman" w:hAnsi="Times New Roman" w:cs="Times New Roman"/>
          <w:b/>
          <w:bCs/>
        </w:rPr>
        <w:t>Uzasadnienie</w:t>
      </w:r>
    </w:p>
    <w:p w14:paraId="7C96732E" w14:textId="7ECD003A" w:rsidR="00935321" w:rsidRPr="00935321" w:rsidRDefault="00935321" w:rsidP="00935321">
      <w:pPr>
        <w:jc w:val="both"/>
        <w:rPr>
          <w:rFonts w:ascii="Times New Roman" w:hAnsi="Times New Roman" w:cs="Times New Roman"/>
          <w:bCs/>
        </w:rPr>
      </w:pPr>
      <w:r w:rsidRPr="00935321">
        <w:rPr>
          <w:rFonts w:ascii="Times New Roman" w:hAnsi="Times New Roman" w:cs="Times New Roman"/>
          <w:bCs/>
        </w:rPr>
        <w:t xml:space="preserve">Zgodnie z art. 38a i art. 38b ust. 2 pkt 2d ustawy z dnia 27 marca 2003 r. o planowaniu i zagospodarowaniu przestrzennym – dalej </w:t>
      </w:r>
      <w:proofErr w:type="spellStart"/>
      <w:r w:rsidRPr="00935321">
        <w:rPr>
          <w:rFonts w:ascii="Times New Roman" w:hAnsi="Times New Roman" w:cs="Times New Roman"/>
          <w:bCs/>
        </w:rPr>
        <w:t>upzp</w:t>
      </w:r>
      <w:proofErr w:type="spellEnd"/>
      <w:r w:rsidRPr="00935321">
        <w:rPr>
          <w:rFonts w:ascii="Times New Roman" w:hAnsi="Times New Roman" w:cs="Times New Roman"/>
          <w:bCs/>
        </w:rPr>
        <w:t xml:space="preserve"> (t</w:t>
      </w:r>
      <w:r w:rsidR="00795092">
        <w:rPr>
          <w:rFonts w:ascii="Times New Roman" w:hAnsi="Times New Roman" w:cs="Times New Roman"/>
          <w:bCs/>
        </w:rPr>
        <w:t>. j.</w:t>
      </w:r>
      <w:r w:rsidRPr="00935321">
        <w:rPr>
          <w:rFonts w:ascii="Times New Roman" w:hAnsi="Times New Roman" w:cs="Times New Roman"/>
          <w:bCs/>
        </w:rPr>
        <w:t xml:space="preserve"> Dz.U. z 2024 r., poz. 1130). Zarząd województwa przed przedłożeniem projektu audytu krajobrazowego do uchwalenia przez sejmik województwa zasięga opinii o projekcie od rad gmin położonych na terenie województwa,</w:t>
      </w:r>
      <w:r w:rsidR="00795092">
        <w:rPr>
          <w:rFonts w:ascii="Times New Roman" w:hAnsi="Times New Roman" w:cs="Times New Roman"/>
          <w:bCs/>
        </w:rPr>
        <w:t xml:space="preserve"> </w:t>
      </w:r>
      <w:r w:rsidRPr="00935321">
        <w:rPr>
          <w:rFonts w:ascii="Times New Roman" w:hAnsi="Times New Roman" w:cs="Times New Roman"/>
          <w:bCs/>
        </w:rPr>
        <w:t>z zastrzeżeniem, że brak zajęcia stanowiska w terminie 30 dni od dnia otrzymania projektu audytu krajobrazowego uznaje się za wyrażenie pozytywnej opinii o projekcie w przedłożonym brzmieniu.</w:t>
      </w:r>
    </w:p>
    <w:p w14:paraId="1446A46B" w14:textId="0E7E54F6" w:rsidR="00935321" w:rsidRPr="00935321" w:rsidRDefault="00935321" w:rsidP="00935321">
      <w:pPr>
        <w:jc w:val="both"/>
        <w:rPr>
          <w:rFonts w:ascii="Times New Roman" w:hAnsi="Times New Roman" w:cs="Times New Roman"/>
          <w:bCs/>
        </w:rPr>
      </w:pPr>
      <w:r w:rsidRPr="00935321">
        <w:rPr>
          <w:rFonts w:ascii="Times New Roman" w:hAnsi="Times New Roman" w:cs="Times New Roman"/>
          <w:bCs/>
        </w:rPr>
        <w:t>Projekt audytu krajobrazowego Województwa Zachodniopomorskie wraz z kartami krajobrazów priorytetowych umieszczony jest na stronie internetowej pod adresem: Audyt Krajobrazowy Województwa Zachodniopomorskiego (rbgp.pl).</w:t>
      </w:r>
    </w:p>
    <w:p w14:paraId="26C0DAB9" w14:textId="12CBF540" w:rsidR="00935321" w:rsidRPr="00935321" w:rsidRDefault="00935321" w:rsidP="00935321">
      <w:pPr>
        <w:jc w:val="both"/>
        <w:rPr>
          <w:rFonts w:ascii="Times New Roman" w:hAnsi="Times New Roman" w:cs="Times New Roman"/>
          <w:bCs/>
        </w:rPr>
      </w:pPr>
      <w:r w:rsidRPr="00935321">
        <w:rPr>
          <w:rFonts w:ascii="Times New Roman" w:hAnsi="Times New Roman" w:cs="Times New Roman"/>
          <w:bCs/>
        </w:rPr>
        <w:t>Wyniki audytu mają wpływ m.in. na ustalenia miejscowych planów zagospodarowania przestrzennego oraz studium uwarunkowań i kierunków zagospodarowania przestrzennego gminy. Wejście w życie audytu krajobrazowego nie skutkuje koniecznością nowelizowania przez gminę ani studium uwarunkowań</w:t>
      </w:r>
      <w:r w:rsidR="00795092">
        <w:rPr>
          <w:rFonts w:ascii="Times New Roman" w:hAnsi="Times New Roman" w:cs="Times New Roman"/>
          <w:bCs/>
        </w:rPr>
        <w:t xml:space="preserve"> </w:t>
      </w:r>
      <w:r w:rsidRPr="00935321">
        <w:rPr>
          <w:rFonts w:ascii="Times New Roman" w:hAnsi="Times New Roman" w:cs="Times New Roman"/>
          <w:bCs/>
        </w:rPr>
        <w:t>i kierunków zagospodarowania przestrzennego, ani miejscowych planów zagospodarowania przestrzennego. Jednakże ustalenia te staną się podstawą wydawania decyzji administracyjnych oraz uchwalania miejscowych planów zagospodarowania przestrzennego dopiero wtedy, gdy na terenie gminy zostanie ustanowiony plan ogólny.</w:t>
      </w:r>
    </w:p>
    <w:p w14:paraId="6EA5A0F3" w14:textId="35DB0584" w:rsidR="00935321" w:rsidRPr="00935321" w:rsidRDefault="00935321" w:rsidP="00935321">
      <w:pPr>
        <w:jc w:val="both"/>
        <w:rPr>
          <w:rFonts w:ascii="Times New Roman" w:hAnsi="Times New Roman" w:cs="Times New Roman"/>
          <w:bCs/>
        </w:rPr>
      </w:pPr>
      <w:r w:rsidRPr="00935321">
        <w:rPr>
          <w:rFonts w:ascii="Times New Roman" w:hAnsi="Times New Roman" w:cs="Times New Roman"/>
          <w:bCs/>
        </w:rPr>
        <w:t xml:space="preserve">Ustalenia Audytu </w:t>
      </w:r>
      <w:r w:rsidR="001121E7">
        <w:rPr>
          <w:rFonts w:ascii="Times New Roman" w:hAnsi="Times New Roman" w:cs="Times New Roman"/>
          <w:bCs/>
        </w:rPr>
        <w:t>K</w:t>
      </w:r>
      <w:r w:rsidRPr="00935321">
        <w:rPr>
          <w:rFonts w:ascii="Times New Roman" w:hAnsi="Times New Roman" w:cs="Times New Roman"/>
          <w:bCs/>
        </w:rPr>
        <w:t xml:space="preserve">rajobrazowego </w:t>
      </w:r>
      <w:r w:rsidR="001121E7">
        <w:rPr>
          <w:rFonts w:ascii="Times New Roman" w:hAnsi="Times New Roman" w:cs="Times New Roman"/>
          <w:bCs/>
        </w:rPr>
        <w:t>W</w:t>
      </w:r>
      <w:r w:rsidRPr="00935321">
        <w:rPr>
          <w:rFonts w:ascii="Times New Roman" w:hAnsi="Times New Roman" w:cs="Times New Roman"/>
          <w:bCs/>
        </w:rPr>
        <w:t xml:space="preserve">ojewództwa </w:t>
      </w:r>
      <w:r w:rsidR="001121E7">
        <w:rPr>
          <w:rFonts w:ascii="Times New Roman" w:hAnsi="Times New Roman" w:cs="Times New Roman"/>
          <w:bCs/>
        </w:rPr>
        <w:t>Z</w:t>
      </w:r>
      <w:r w:rsidRPr="00935321">
        <w:rPr>
          <w:rFonts w:ascii="Times New Roman" w:hAnsi="Times New Roman" w:cs="Times New Roman"/>
          <w:bCs/>
        </w:rPr>
        <w:t>achodniopomorskiego będą zatem miały znaczenie dla przyszłych inwestycji gminnych w zakresie m.in. infrastruktury technicznej, społecznej, kulturalnej, sportowej i turystycznej, ale także na ograniczenia w zabudowie poszczególnych terenów wskazanych w audycie krajobrazowym województwa, jakie powinny być uwzględniane w miejscowych planach zagospodarowania przestrzennego.</w:t>
      </w:r>
    </w:p>
    <w:p w14:paraId="55D486A4" w14:textId="215617F9" w:rsidR="00935321" w:rsidRPr="00935321" w:rsidRDefault="00935321" w:rsidP="00935321">
      <w:pPr>
        <w:jc w:val="both"/>
        <w:rPr>
          <w:rFonts w:ascii="Times New Roman" w:hAnsi="Times New Roman" w:cs="Times New Roman"/>
          <w:b/>
          <w:bCs/>
          <w:i/>
        </w:rPr>
      </w:pPr>
      <w:r w:rsidRPr="00935321">
        <w:rPr>
          <w:rFonts w:ascii="Times New Roman" w:hAnsi="Times New Roman" w:cs="Times New Roman"/>
          <w:bCs/>
        </w:rPr>
        <w:t xml:space="preserve">W opiniowanym dokumencie na terenie Gminy Trzcińsko – Zdrój zaproponowano krajobraz priorytetowy oznaczony jako: </w:t>
      </w:r>
      <w:r w:rsidRPr="00935321">
        <w:rPr>
          <w:rFonts w:ascii="Times New Roman" w:hAnsi="Times New Roman" w:cs="Times New Roman"/>
          <w:b/>
          <w:bCs/>
          <w:i/>
        </w:rPr>
        <w:t>32-314.41-145, Krajobraz wiejski z miejscowościami: Brwice, Chełm Górny, Gogolice Narost.</w:t>
      </w:r>
    </w:p>
    <w:p w14:paraId="4C1BB91E" w14:textId="116554DB" w:rsidR="00935321" w:rsidRPr="00935321" w:rsidRDefault="00935321" w:rsidP="00935321">
      <w:pPr>
        <w:jc w:val="both"/>
        <w:rPr>
          <w:rFonts w:ascii="Times New Roman" w:hAnsi="Times New Roman" w:cs="Times New Roman"/>
          <w:bCs/>
        </w:rPr>
      </w:pPr>
      <w:r w:rsidRPr="00935321">
        <w:rPr>
          <w:rFonts w:ascii="Times New Roman" w:hAnsi="Times New Roman" w:cs="Times New Roman"/>
          <w:bCs/>
        </w:rPr>
        <w:t xml:space="preserve">W projekcie Audytu </w:t>
      </w:r>
      <w:proofErr w:type="spellStart"/>
      <w:r w:rsidR="00795092">
        <w:rPr>
          <w:rFonts w:ascii="Times New Roman" w:hAnsi="Times New Roman" w:cs="Times New Roman"/>
          <w:bCs/>
        </w:rPr>
        <w:t>K</w:t>
      </w:r>
      <w:r w:rsidRPr="00935321">
        <w:rPr>
          <w:rFonts w:ascii="Times New Roman" w:hAnsi="Times New Roman" w:cs="Times New Roman"/>
          <w:bCs/>
        </w:rPr>
        <w:t>ajobrazowego</w:t>
      </w:r>
      <w:proofErr w:type="spellEnd"/>
      <w:r w:rsidRPr="00935321">
        <w:rPr>
          <w:rFonts w:ascii="Times New Roman" w:hAnsi="Times New Roman" w:cs="Times New Roman"/>
          <w:bCs/>
        </w:rPr>
        <w:t xml:space="preserve"> Województwa Zachodniopomorskiego określono wytyczne odnośnie m.in. ograniczenia zabudowy tylko do terenów zwartej zabudowy, zachowania otwartej przestrzeni pomiędzy miejscowościami, określono formy dachów i budynków oraz materiałów wykończeniowych i rodzajów ogrodzeń dla posesji</w:t>
      </w:r>
      <w:r w:rsidR="00795092">
        <w:rPr>
          <w:rFonts w:ascii="Times New Roman" w:hAnsi="Times New Roman" w:cs="Times New Roman"/>
          <w:bCs/>
        </w:rPr>
        <w:t>,</w:t>
      </w:r>
      <w:r w:rsidRPr="00935321">
        <w:rPr>
          <w:rFonts w:ascii="Times New Roman" w:hAnsi="Times New Roman" w:cs="Times New Roman"/>
          <w:bCs/>
        </w:rPr>
        <w:t xml:space="preserve"> a także ograniczono lokalizację urządzeń technicznych, zakłócających wizualny odbiór obiektów w dostępnej przestrzeni publicznej.</w:t>
      </w:r>
    </w:p>
    <w:p w14:paraId="5E999B00" w14:textId="7FF49FAC" w:rsidR="00935321" w:rsidRPr="00935321" w:rsidRDefault="00935321" w:rsidP="00935321">
      <w:pPr>
        <w:jc w:val="both"/>
        <w:rPr>
          <w:rFonts w:ascii="Times New Roman" w:hAnsi="Times New Roman" w:cs="Times New Roman"/>
          <w:bCs/>
        </w:rPr>
      </w:pPr>
      <w:r w:rsidRPr="00935321">
        <w:rPr>
          <w:rFonts w:ascii="Times New Roman" w:hAnsi="Times New Roman" w:cs="Times New Roman"/>
          <w:bCs/>
        </w:rPr>
        <w:t>Reasumując, rekomendacje te nie mają charakteru propozycji bądź sugestii, lecz przybierają formę obowiązku i ograniczenia wpływającego negatywnie na rozwój gminy. Mając na uwadze powyższe, obecne zapisy przedmiotowego projektu Audytu Krajobrazowego nie pozwalają na jego pozytywne zaopiniowanie przez Radę</w:t>
      </w:r>
      <w:r>
        <w:rPr>
          <w:rFonts w:ascii="Times New Roman" w:hAnsi="Times New Roman" w:cs="Times New Roman"/>
          <w:bCs/>
        </w:rPr>
        <w:t xml:space="preserve"> Miejską w Trzcińsku – Zdroju.</w:t>
      </w:r>
    </w:p>
    <w:p w14:paraId="45DC2671" w14:textId="77777777" w:rsidR="00935321" w:rsidRPr="00935321" w:rsidRDefault="00935321" w:rsidP="00935321">
      <w:pPr>
        <w:jc w:val="both"/>
        <w:rPr>
          <w:bCs/>
        </w:rPr>
      </w:pPr>
    </w:p>
    <w:p w14:paraId="29BB95EB" w14:textId="77777777" w:rsidR="00935321" w:rsidRPr="00935321" w:rsidRDefault="00935321" w:rsidP="00935321">
      <w:pPr>
        <w:rPr>
          <w:b/>
        </w:rPr>
      </w:pPr>
    </w:p>
    <w:p w14:paraId="1F48C412" w14:textId="77777777" w:rsidR="00935321" w:rsidRDefault="00935321"/>
    <w:sectPr w:rsidR="00935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21"/>
    <w:rsid w:val="001121E7"/>
    <w:rsid w:val="00795092"/>
    <w:rsid w:val="00914300"/>
    <w:rsid w:val="00935321"/>
    <w:rsid w:val="00B84F33"/>
    <w:rsid w:val="00CD6255"/>
    <w:rsid w:val="00D468B0"/>
    <w:rsid w:val="00DE23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6B9E"/>
  <w15:chartTrackingRefBased/>
  <w15:docId w15:val="{087FEB75-A271-4F1B-A7BA-613F66B1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1557</Words>
  <Characters>9342</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Chruściński</dc:creator>
  <cp:keywords/>
  <dc:description/>
  <cp:lastModifiedBy>Sylwia Tyrpa</cp:lastModifiedBy>
  <cp:revision>2</cp:revision>
  <cp:lastPrinted>2024-12-02T11:55:00Z</cp:lastPrinted>
  <dcterms:created xsi:type="dcterms:W3CDTF">2024-12-02T14:31:00Z</dcterms:created>
  <dcterms:modified xsi:type="dcterms:W3CDTF">2024-12-02T14:31:00Z</dcterms:modified>
</cp:coreProperties>
</file>